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AFC16" w14:textId="77777777" w:rsidR="000177AF" w:rsidRPr="008E4831" w:rsidRDefault="006234D1" w:rsidP="00FC307E">
      <w:pPr>
        <w:tabs>
          <w:tab w:val="left" w:pos="-720"/>
          <w:tab w:val="left" w:pos="2880"/>
          <w:tab w:val="left" w:pos="9360"/>
        </w:tabs>
        <w:spacing w:before="3000"/>
        <w:rPr>
          <w:rFonts w:ascii="Arial" w:hAnsi="Arial" w:cs="Arial"/>
          <w:u w:val="single"/>
        </w:rPr>
      </w:pPr>
      <w:bookmarkStart w:id="0" w:name="_GoBack"/>
      <w:bookmarkEnd w:id="0"/>
      <w:r w:rsidRPr="008E4831">
        <w:rPr>
          <w:rFonts w:ascii="Arial" w:hAnsi="Arial" w:cs="Arial"/>
          <w:u w:val="single"/>
        </w:rPr>
        <w:tab/>
      </w:r>
      <w:r w:rsidRPr="008E4831">
        <w:rPr>
          <w:rFonts w:ascii="Arial" w:hAnsi="Arial" w:cs="Arial"/>
          <w:b/>
          <w:bCs/>
          <w:szCs w:val="24"/>
        </w:rPr>
        <w:t xml:space="preserve">Court of Washington, County of </w:t>
      </w:r>
      <w:r w:rsidRPr="008E4831">
        <w:rPr>
          <w:rFonts w:ascii="Arial" w:hAnsi="Arial" w:cs="Arial"/>
          <w:u w:val="single"/>
        </w:rPr>
        <w:tab/>
      </w:r>
    </w:p>
    <w:p w14:paraId="08F87D59" w14:textId="2B8E3AAD" w:rsidR="006234D1" w:rsidRPr="008E4831" w:rsidRDefault="000177AF" w:rsidP="00FC307E">
      <w:pPr>
        <w:tabs>
          <w:tab w:val="left" w:pos="-720"/>
          <w:tab w:val="left" w:pos="2880"/>
          <w:tab w:val="left" w:pos="9360"/>
        </w:tabs>
        <w:spacing w:after="120"/>
        <w:rPr>
          <w:rFonts w:ascii="Arial" w:hAnsi="Arial" w:cs="Arial"/>
          <w:i/>
          <w:iCs/>
          <w:sz w:val="22"/>
        </w:rPr>
      </w:pPr>
      <w:r w:rsidRPr="008E4831">
        <w:rPr>
          <w:rFonts w:ascii="Arial" w:hAnsi="Arial" w:cs="Arial"/>
          <w:i/>
          <w:iCs/>
        </w:rPr>
        <w:tab/>
      </w:r>
      <w:r w:rsidRPr="008E4831">
        <w:rPr>
          <w:rFonts w:ascii="Arial" w:hAnsi="Arial" w:cs="Arial"/>
          <w:b/>
          <w:bCs/>
          <w:i/>
          <w:iCs/>
          <w:szCs w:val="24"/>
          <w:lang w:val="ru"/>
        </w:rPr>
        <w:t xml:space="preserve">Суд штата Вашингтон, округ </w:t>
      </w:r>
    </w:p>
    <w:tbl>
      <w:tblPr>
        <w:tblW w:w="9450" w:type="dxa"/>
        <w:tblInd w:w="65" w:type="dxa"/>
        <w:tblLayout w:type="fixed"/>
        <w:tblCellMar>
          <w:left w:w="57" w:type="dxa"/>
          <w:right w:w="57" w:type="dxa"/>
        </w:tblCellMar>
        <w:tblLook w:val="0000" w:firstRow="0" w:lastRow="0" w:firstColumn="0" w:lastColumn="0" w:noHBand="0" w:noVBand="0"/>
      </w:tblPr>
      <w:tblGrid>
        <w:gridCol w:w="5040"/>
        <w:gridCol w:w="4410"/>
      </w:tblGrid>
      <w:tr w:rsidR="00DB234B" w:rsidRPr="008E4831" w14:paraId="34242D17" w14:textId="77777777" w:rsidTr="006B2425">
        <w:trPr>
          <w:cantSplit/>
        </w:trPr>
        <w:tc>
          <w:tcPr>
            <w:tcW w:w="5040" w:type="dxa"/>
            <w:tcBorders>
              <w:left w:val="nil"/>
              <w:bottom w:val="single" w:sz="36" w:space="0" w:color="auto"/>
              <w:right w:val="nil"/>
            </w:tcBorders>
          </w:tcPr>
          <w:p w14:paraId="59821E43" w14:textId="32A30F2C" w:rsidR="00A4361A" w:rsidRPr="008E4831" w:rsidRDefault="00135988" w:rsidP="00BE6322">
            <w:pPr>
              <w:tabs>
                <w:tab w:val="left" w:pos="-720"/>
                <w:tab w:val="left" w:pos="4651"/>
              </w:tabs>
              <w:spacing w:before="240"/>
              <w:rPr>
                <w:rFonts w:ascii="Arial" w:hAnsi="Arial" w:cs="Arial"/>
                <w:sz w:val="22"/>
                <w:u w:val="single"/>
              </w:rPr>
            </w:pPr>
            <w:r w:rsidRPr="008E4831">
              <w:rPr>
                <w:rFonts w:ascii="Arial" w:hAnsi="Arial" w:cs="Arial"/>
                <w:sz w:val="22"/>
                <w:u w:val="single"/>
              </w:rPr>
              <w:tab/>
            </w:r>
          </w:p>
          <w:p w14:paraId="7A7E5E98" w14:textId="77777777" w:rsidR="000177AF" w:rsidRPr="008E4831" w:rsidRDefault="00DB234B" w:rsidP="00FC307E">
            <w:pPr>
              <w:tabs>
                <w:tab w:val="left" w:pos="-720"/>
              </w:tabs>
              <w:rPr>
                <w:rFonts w:ascii="Arial" w:hAnsi="Arial" w:cs="Arial"/>
                <w:sz w:val="22"/>
              </w:rPr>
            </w:pPr>
            <w:r w:rsidRPr="008E4831">
              <w:rPr>
                <w:rFonts w:ascii="Arial" w:hAnsi="Arial" w:cs="Arial"/>
                <w:sz w:val="22"/>
              </w:rPr>
              <w:t>Petitioner</w:t>
            </w:r>
          </w:p>
          <w:p w14:paraId="61AC700C" w14:textId="5F3331C7" w:rsidR="00DB234B" w:rsidRPr="008E4831" w:rsidRDefault="000177AF" w:rsidP="00FC307E">
            <w:pPr>
              <w:tabs>
                <w:tab w:val="left" w:pos="-720"/>
              </w:tabs>
              <w:rPr>
                <w:rFonts w:ascii="Arial" w:hAnsi="Arial" w:cs="Arial"/>
                <w:i/>
                <w:iCs/>
                <w:sz w:val="22"/>
              </w:rPr>
            </w:pPr>
            <w:r w:rsidRPr="008E4831">
              <w:rPr>
                <w:rFonts w:ascii="Arial" w:hAnsi="Arial" w:cs="Arial"/>
                <w:i/>
                <w:iCs/>
                <w:sz w:val="22"/>
                <w:lang w:val="ru"/>
              </w:rPr>
              <w:t>Податель заявления</w:t>
            </w:r>
          </w:p>
          <w:p w14:paraId="48FD1C2D" w14:textId="77777777" w:rsidR="000177AF" w:rsidRPr="008E4831" w:rsidRDefault="00135988" w:rsidP="00FC307E">
            <w:pPr>
              <w:tabs>
                <w:tab w:val="left" w:pos="-720"/>
                <w:tab w:val="center" w:pos="2311"/>
              </w:tabs>
              <w:spacing w:before="40"/>
              <w:rPr>
                <w:rFonts w:ascii="Arial" w:hAnsi="Arial" w:cs="Arial"/>
                <w:sz w:val="22"/>
              </w:rPr>
            </w:pPr>
            <w:r w:rsidRPr="008E4831">
              <w:rPr>
                <w:rFonts w:ascii="Arial" w:hAnsi="Arial" w:cs="Arial"/>
                <w:sz w:val="22"/>
              </w:rPr>
              <w:tab/>
              <w:t>vs.</w:t>
            </w:r>
          </w:p>
          <w:p w14:paraId="2F5372AC" w14:textId="6C511E47" w:rsidR="00DB234B" w:rsidRPr="008E4831" w:rsidRDefault="000177AF" w:rsidP="00FC307E">
            <w:pPr>
              <w:tabs>
                <w:tab w:val="left" w:pos="-720"/>
                <w:tab w:val="center" w:pos="2311"/>
              </w:tabs>
              <w:rPr>
                <w:rFonts w:ascii="Arial" w:hAnsi="Arial" w:cs="Arial"/>
                <w:i/>
                <w:iCs/>
                <w:sz w:val="22"/>
              </w:rPr>
            </w:pPr>
            <w:r w:rsidRPr="008E4831">
              <w:rPr>
                <w:rFonts w:ascii="Arial" w:hAnsi="Arial" w:cs="Arial"/>
                <w:sz w:val="22"/>
              </w:rPr>
              <w:tab/>
            </w:r>
            <w:r w:rsidRPr="008E4831">
              <w:rPr>
                <w:rFonts w:ascii="Arial" w:hAnsi="Arial" w:cs="Arial"/>
                <w:i/>
                <w:iCs/>
                <w:sz w:val="22"/>
                <w:lang w:val="ru"/>
              </w:rPr>
              <w:t>против</w:t>
            </w:r>
          </w:p>
          <w:p w14:paraId="6AE6EB0B" w14:textId="26DA7E52" w:rsidR="00135988" w:rsidRPr="008E4831" w:rsidRDefault="00135988" w:rsidP="00BE6322">
            <w:pPr>
              <w:tabs>
                <w:tab w:val="left" w:pos="-720"/>
                <w:tab w:val="left" w:pos="4651"/>
              </w:tabs>
              <w:spacing w:before="240"/>
              <w:rPr>
                <w:rFonts w:ascii="Arial" w:hAnsi="Arial" w:cs="Arial"/>
                <w:sz w:val="22"/>
                <w:u w:val="single"/>
              </w:rPr>
            </w:pPr>
            <w:r w:rsidRPr="008E4831">
              <w:rPr>
                <w:rFonts w:ascii="Arial" w:hAnsi="Arial" w:cs="Arial"/>
                <w:sz w:val="22"/>
                <w:u w:val="single"/>
              </w:rPr>
              <w:tab/>
            </w:r>
          </w:p>
          <w:p w14:paraId="628CCAD0" w14:textId="77777777" w:rsidR="000177AF" w:rsidRPr="008E4831" w:rsidRDefault="00DB234B" w:rsidP="00FC307E">
            <w:pPr>
              <w:tabs>
                <w:tab w:val="left" w:pos="-720"/>
              </w:tabs>
              <w:rPr>
                <w:rFonts w:ascii="Arial" w:hAnsi="Arial" w:cs="Arial"/>
                <w:sz w:val="22"/>
              </w:rPr>
            </w:pPr>
            <w:r w:rsidRPr="008E4831">
              <w:rPr>
                <w:rFonts w:ascii="Arial" w:hAnsi="Arial" w:cs="Arial"/>
                <w:sz w:val="22"/>
              </w:rPr>
              <w:t>Respondent</w:t>
            </w:r>
          </w:p>
          <w:p w14:paraId="0479105F" w14:textId="0FAEF09A" w:rsidR="00DB234B" w:rsidRPr="008E4831" w:rsidRDefault="000177AF" w:rsidP="00FC307E">
            <w:pPr>
              <w:tabs>
                <w:tab w:val="left" w:pos="-720"/>
              </w:tabs>
              <w:spacing w:after="54"/>
              <w:rPr>
                <w:rFonts w:ascii="Arial" w:hAnsi="Arial" w:cs="Arial"/>
                <w:i/>
                <w:iCs/>
                <w:sz w:val="22"/>
              </w:rPr>
            </w:pPr>
            <w:r w:rsidRPr="008E4831">
              <w:rPr>
                <w:rFonts w:ascii="Arial" w:hAnsi="Arial" w:cs="Arial"/>
                <w:i/>
                <w:iCs/>
                <w:sz w:val="22"/>
                <w:lang w:val="ru"/>
              </w:rPr>
              <w:t>Ответчик</w:t>
            </w:r>
          </w:p>
        </w:tc>
        <w:tc>
          <w:tcPr>
            <w:tcW w:w="4410" w:type="dxa"/>
            <w:tcBorders>
              <w:top w:val="nil"/>
              <w:left w:val="single" w:sz="6" w:space="0" w:color="auto"/>
              <w:bottom w:val="single" w:sz="30" w:space="0" w:color="auto"/>
              <w:right w:val="nil"/>
            </w:tcBorders>
          </w:tcPr>
          <w:p w14:paraId="63832886" w14:textId="77777777" w:rsidR="000177AF" w:rsidRPr="008E4831" w:rsidRDefault="00DB234B" w:rsidP="00FC307E">
            <w:pPr>
              <w:tabs>
                <w:tab w:val="left" w:pos="-720"/>
              </w:tabs>
              <w:spacing w:before="120"/>
              <w:rPr>
                <w:rFonts w:ascii="Arial" w:hAnsi="Arial" w:cs="Arial"/>
                <w:b/>
                <w:sz w:val="22"/>
              </w:rPr>
            </w:pPr>
            <w:r w:rsidRPr="008E4831">
              <w:rPr>
                <w:rFonts w:ascii="Arial" w:hAnsi="Arial" w:cs="Arial"/>
                <w:b/>
                <w:bCs/>
                <w:sz w:val="22"/>
              </w:rPr>
              <w:t>No.</w:t>
            </w:r>
          </w:p>
          <w:p w14:paraId="3375CFA6" w14:textId="2B32185B" w:rsidR="00DB234B" w:rsidRPr="008E4831" w:rsidRDefault="000177AF" w:rsidP="00FC307E">
            <w:pPr>
              <w:tabs>
                <w:tab w:val="left" w:pos="-720"/>
              </w:tabs>
              <w:rPr>
                <w:rFonts w:ascii="Arial" w:hAnsi="Arial" w:cs="Arial"/>
                <w:b/>
                <w:i/>
                <w:iCs/>
                <w:sz w:val="22"/>
              </w:rPr>
            </w:pPr>
            <w:r w:rsidRPr="008E4831">
              <w:rPr>
                <w:rFonts w:ascii="Arial" w:hAnsi="Arial" w:cs="Arial"/>
                <w:b/>
                <w:bCs/>
                <w:i/>
                <w:iCs/>
                <w:sz w:val="22"/>
                <w:lang w:val="ru"/>
              </w:rPr>
              <w:t>№</w:t>
            </w:r>
          </w:p>
          <w:p w14:paraId="3BEF64A8" w14:textId="77777777" w:rsidR="000177AF" w:rsidRPr="008E4831" w:rsidRDefault="00103A3A" w:rsidP="00FC307E">
            <w:pPr>
              <w:tabs>
                <w:tab w:val="left" w:pos="-720"/>
              </w:tabs>
              <w:spacing w:before="120"/>
              <w:rPr>
                <w:rFonts w:ascii="Arial" w:hAnsi="Arial" w:cs="Arial"/>
                <w:b/>
                <w:sz w:val="22"/>
              </w:rPr>
            </w:pPr>
            <w:r w:rsidRPr="008E4831">
              <w:rPr>
                <w:rFonts w:ascii="Arial" w:hAnsi="Arial" w:cs="Arial"/>
                <w:b/>
                <w:bCs/>
                <w:sz w:val="22"/>
              </w:rPr>
              <w:t>Order Realigning Parties</w:t>
            </w:r>
          </w:p>
          <w:p w14:paraId="411B2689" w14:textId="06A0182F" w:rsidR="008B4570" w:rsidRPr="008E4831" w:rsidRDefault="000177AF" w:rsidP="00FC307E">
            <w:pPr>
              <w:tabs>
                <w:tab w:val="left" w:pos="-720"/>
              </w:tabs>
              <w:rPr>
                <w:rFonts w:ascii="Arial" w:hAnsi="Arial" w:cs="Arial"/>
                <w:i/>
                <w:iCs/>
                <w:sz w:val="22"/>
              </w:rPr>
            </w:pPr>
            <w:r w:rsidRPr="008E4831">
              <w:rPr>
                <w:rFonts w:ascii="Arial" w:hAnsi="Arial" w:cs="Arial"/>
                <w:b/>
                <w:bCs/>
                <w:i/>
                <w:iCs/>
                <w:sz w:val="22"/>
                <w:lang w:val="ru"/>
              </w:rPr>
              <w:t>Приказ о перестановке сторон</w:t>
            </w:r>
          </w:p>
          <w:p w14:paraId="0DE599F7" w14:textId="77777777" w:rsidR="000177AF" w:rsidRPr="008E4831" w:rsidRDefault="00DB234B" w:rsidP="00FC307E">
            <w:pPr>
              <w:tabs>
                <w:tab w:val="left" w:pos="-720"/>
              </w:tabs>
              <w:spacing w:before="120"/>
              <w:rPr>
                <w:rFonts w:ascii="Arial" w:hAnsi="Arial" w:cs="Arial"/>
                <w:sz w:val="22"/>
              </w:rPr>
            </w:pPr>
            <w:r w:rsidRPr="008E4831">
              <w:rPr>
                <w:rFonts w:ascii="Arial" w:hAnsi="Arial" w:cs="Arial"/>
                <w:sz w:val="22"/>
              </w:rPr>
              <w:t>ORRAP</w:t>
            </w:r>
          </w:p>
          <w:p w14:paraId="34B2383C" w14:textId="7093B2E5" w:rsidR="001B509B" w:rsidRPr="008E4831" w:rsidRDefault="000177AF" w:rsidP="00FC307E">
            <w:pPr>
              <w:tabs>
                <w:tab w:val="left" w:pos="-720"/>
              </w:tabs>
              <w:rPr>
                <w:rFonts w:ascii="Arial" w:hAnsi="Arial" w:cs="Arial"/>
                <w:i/>
                <w:iCs/>
                <w:sz w:val="22"/>
              </w:rPr>
            </w:pPr>
            <w:r w:rsidRPr="008E4831">
              <w:rPr>
                <w:rFonts w:ascii="Arial" w:hAnsi="Arial" w:cs="Arial"/>
                <w:i/>
                <w:iCs/>
                <w:sz w:val="22"/>
                <w:lang w:val="ru"/>
              </w:rPr>
              <w:t xml:space="preserve">ORRAP </w:t>
            </w:r>
          </w:p>
        </w:tc>
      </w:tr>
    </w:tbl>
    <w:p w14:paraId="2E1FD61A" w14:textId="77777777" w:rsidR="000177AF" w:rsidRPr="008E4831" w:rsidRDefault="001B509B" w:rsidP="00FC307E">
      <w:pPr>
        <w:spacing w:before="120"/>
        <w:jc w:val="center"/>
        <w:rPr>
          <w:rFonts w:ascii="Arial" w:hAnsi="Arial" w:cs="Arial"/>
          <w:b/>
          <w:sz w:val="28"/>
          <w:szCs w:val="32"/>
        </w:rPr>
      </w:pPr>
      <w:r w:rsidRPr="008E4831">
        <w:rPr>
          <w:rFonts w:ascii="Arial" w:hAnsi="Arial" w:cs="Arial"/>
          <w:b/>
          <w:bCs/>
          <w:sz w:val="28"/>
          <w:szCs w:val="32"/>
        </w:rPr>
        <w:t>Order Realigning Parties</w:t>
      </w:r>
    </w:p>
    <w:p w14:paraId="6AE29648" w14:textId="4C876215" w:rsidR="00DB234B" w:rsidRPr="008E4831" w:rsidRDefault="000177AF" w:rsidP="00FC307E">
      <w:pPr>
        <w:jc w:val="center"/>
        <w:rPr>
          <w:rFonts w:ascii="Arial" w:hAnsi="Arial" w:cs="Arial"/>
          <w:b/>
          <w:i/>
          <w:iCs/>
          <w:sz w:val="28"/>
          <w:szCs w:val="32"/>
        </w:rPr>
      </w:pPr>
      <w:r w:rsidRPr="008E4831">
        <w:rPr>
          <w:rFonts w:ascii="Arial" w:hAnsi="Arial" w:cs="Arial"/>
          <w:b/>
          <w:bCs/>
          <w:i/>
          <w:iCs/>
          <w:sz w:val="28"/>
          <w:szCs w:val="32"/>
          <w:lang w:val="ru"/>
        </w:rPr>
        <w:t>Приказ о перестановке сторон</w:t>
      </w:r>
    </w:p>
    <w:p w14:paraId="4F030DFC" w14:textId="77777777" w:rsidR="000177AF" w:rsidRPr="008E4831" w:rsidRDefault="003021E8" w:rsidP="00FC307E">
      <w:pPr>
        <w:spacing w:before="60"/>
        <w:rPr>
          <w:rFonts w:ascii="Arial Narrow" w:hAnsi="Arial Narrow" w:cs="Arial"/>
          <w:i/>
          <w:iCs/>
          <w:sz w:val="22"/>
          <w:szCs w:val="22"/>
        </w:rPr>
      </w:pPr>
      <w:r w:rsidRPr="008E4831">
        <w:rPr>
          <w:rFonts w:ascii="Arial Narrow" w:hAnsi="Arial Narrow" w:cs="Arial"/>
          <w:b/>
          <w:bCs/>
          <w:i/>
          <w:iCs/>
          <w:sz w:val="22"/>
          <w:szCs w:val="22"/>
        </w:rPr>
        <w:t>Use this form</w:t>
      </w:r>
      <w:r w:rsidRPr="008E4831">
        <w:rPr>
          <w:rFonts w:ascii="Arial Narrow" w:hAnsi="Arial Narrow" w:cs="Arial"/>
          <w:i/>
          <w:iCs/>
          <w:sz w:val="22"/>
          <w:szCs w:val="22"/>
        </w:rPr>
        <w:t xml:space="preserve"> when you are granting a new temporary order protecting the person who was originally restrained. To realign the parties without granting a new temporary order, use the Denial Order.</w:t>
      </w:r>
    </w:p>
    <w:p w14:paraId="31B8D56F" w14:textId="7CD6651E" w:rsidR="003021E8" w:rsidRPr="008E4831" w:rsidRDefault="000177AF" w:rsidP="00FC307E">
      <w:pPr>
        <w:rPr>
          <w:rFonts w:ascii="Arial Narrow" w:hAnsi="Arial Narrow" w:cs="Arial"/>
          <w:i/>
          <w:iCs/>
          <w:sz w:val="22"/>
          <w:szCs w:val="22"/>
          <w:lang w:val="ru"/>
        </w:rPr>
      </w:pPr>
      <w:r w:rsidRPr="008E4831">
        <w:rPr>
          <w:rFonts w:ascii="Arial Narrow" w:hAnsi="Arial Narrow" w:cs="Arial"/>
          <w:b/>
          <w:bCs/>
          <w:i/>
          <w:iCs/>
          <w:sz w:val="22"/>
          <w:szCs w:val="22"/>
          <w:lang w:val="ru"/>
        </w:rPr>
        <w:t>Используйте эту форму</w:t>
      </w:r>
      <w:r w:rsidRPr="008E4831">
        <w:rPr>
          <w:rFonts w:ascii="Arial Narrow" w:hAnsi="Arial Narrow" w:cs="Arial"/>
          <w:i/>
          <w:iCs/>
          <w:sz w:val="22"/>
          <w:szCs w:val="22"/>
          <w:lang w:val="ru"/>
        </w:rPr>
        <w:t xml:space="preserve"> при выдаче нового временного защитного приказа для защиты лица, на которое изначально был наложен запрет. Чтобы переставить стороны без вынесения нового временного постановления, используйте форму приказа об отказе.</w:t>
      </w:r>
    </w:p>
    <w:p w14:paraId="2BBEE7DF" w14:textId="77777777" w:rsidR="000177AF" w:rsidRPr="008E4831" w:rsidRDefault="003021E8" w:rsidP="00FC307E">
      <w:pPr>
        <w:spacing w:before="120"/>
        <w:rPr>
          <w:rFonts w:ascii="Arial" w:hAnsi="Arial" w:cs="Arial"/>
          <w:b/>
          <w:bCs/>
          <w:sz w:val="22"/>
          <w:szCs w:val="22"/>
        </w:rPr>
      </w:pPr>
      <w:r w:rsidRPr="008E4831">
        <w:rPr>
          <w:rFonts w:ascii="Arial" w:hAnsi="Arial" w:cs="Arial"/>
          <w:b/>
          <w:bCs/>
          <w:sz w:val="22"/>
          <w:szCs w:val="22"/>
        </w:rPr>
        <w:t>1.</w:t>
      </w:r>
      <w:r w:rsidRPr="008E4831">
        <w:rPr>
          <w:rFonts w:ascii="Arial" w:hAnsi="Arial" w:cs="Arial"/>
          <w:b/>
          <w:bCs/>
          <w:sz w:val="22"/>
          <w:szCs w:val="22"/>
        </w:rPr>
        <w:tab/>
        <w:t>Findings</w:t>
      </w:r>
    </w:p>
    <w:p w14:paraId="18F72BCE" w14:textId="272CD985" w:rsidR="003021E8" w:rsidRPr="008E4831" w:rsidRDefault="00BE6322" w:rsidP="00FC307E">
      <w:pPr>
        <w:rPr>
          <w:rFonts w:ascii="Arial" w:hAnsi="Arial" w:cs="Arial"/>
          <w:b/>
          <w:bCs/>
          <w:i/>
          <w:iCs/>
          <w:sz w:val="22"/>
          <w:szCs w:val="22"/>
        </w:rPr>
      </w:pPr>
      <w:r w:rsidRPr="008E4831">
        <w:rPr>
          <w:rFonts w:ascii="Arial" w:hAnsi="Arial" w:cs="Arial"/>
          <w:b/>
          <w:bCs/>
          <w:i/>
          <w:iCs/>
          <w:sz w:val="22"/>
          <w:szCs w:val="22"/>
        </w:rPr>
        <w:tab/>
      </w:r>
      <w:r w:rsidRPr="008E4831">
        <w:rPr>
          <w:rFonts w:ascii="Arial" w:hAnsi="Arial" w:cs="Arial"/>
          <w:b/>
          <w:bCs/>
          <w:i/>
          <w:iCs/>
          <w:sz w:val="22"/>
          <w:szCs w:val="22"/>
          <w:lang w:val="ru"/>
        </w:rPr>
        <w:t>Выводы</w:t>
      </w:r>
    </w:p>
    <w:p w14:paraId="6BE71CF1" w14:textId="77777777" w:rsidR="000177AF" w:rsidRPr="008E4831" w:rsidRDefault="001B509B" w:rsidP="00FC307E">
      <w:pPr>
        <w:pStyle w:val="BodyTextIndent"/>
        <w:spacing w:before="60" w:after="0"/>
        <w:ind w:left="720"/>
      </w:pPr>
      <w:r w:rsidRPr="008E4831">
        <w:t xml:space="preserve">Based upon the petition, testimony, and the case record, the court finds that the designation of the parties should be realigned pursuant to RCW 7.105.210.  The court finds that the original protected person is the abuser or harasser, and the original restrained person is the victim of [  ] domestic </w:t>
      </w:r>
      <w:proofErr w:type="gramStart"/>
      <w:r w:rsidRPr="008E4831">
        <w:t>violence  [</w:t>
      </w:r>
      <w:proofErr w:type="gramEnd"/>
      <w:r w:rsidRPr="008E4831">
        <w:t xml:space="preserve">  ] unlawful harassment.</w:t>
      </w:r>
    </w:p>
    <w:p w14:paraId="11AC3A93" w14:textId="67ABDB27" w:rsidR="001B509B" w:rsidRPr="008E4831" w:rsidRDefault="000177AF" w:rsidP="00FC307E">
      <w:pPr>
        <w:pStyle w:val="BodyTextIndent"/>
        <w:spacing w:before="0" w:after="0"/>
        <w:ind w:left="720"/>
        <w:rPr>
          <w:i/>
          <w:iCs/>
          <w:lang w:val="ru"/>
        </w:rPr>
      </w:pPr>
      <w:r w:rsidRPr="008E4831">
        <w:rPr>
          <w:i/>
          <w:iCs/>
          <w:lang w:val="ru"/>
        </w:rPr>
        <w:t>Основываясь на ходатайстве, свидетельских показаниях и материалах дела, суд считает, что назначение сторон должно быть изменено в соответствии с RCW 7.105.210.  Суд приходит к следующим выводам: первоначальное «защищаемое лицо» — это обидчик или домогатель, а первоначальное «лицо, на которое наложен запрет» — [-] жертва домашнего насилия или [-] незаконных домогательств.</w:t>
      </w:r>
    </w:p>
    <w:p w14:paraId="191D8C11" w14:textId="77777777" w:rsidR="000177AF" w:rsidRPr="008E4831" w:rsidRDefault="009B1B80" w:rsidP="00FC307E">
      <w:pPr>
        <w:spacing w:before="120"/>
        <w:rPr>
          <w:rFonts w:ascii="Arial" w:hAnsi="Arial" w:cs="Arial"/>
          <w:b/>
          <w:bCs/>
          <w:sz w:val="22"/>
          <w:szCs w:val="22"/>
        </w:rPr>
      </w:pPr>
      <w:r w:rsidRPr="008E4831">
        <w:rPr>
          <w:rFonts w:ascii="Arial" w:hAnsi="Arial" w:cs="Arial"/>
          <w:b/>
          <w:bCs/>
          <w:sz w:val="22"/>
          <w:szCs w:val="22"/>
        </w:rPr>
        <w:t>2.</w:t>
      </w:r>
      <w:r w:rsidRPr="008E4831">
        <w:rPr>
          <w:rFonts w:ascii="Arial" w:hAnsi="Arial" w:cs="Arial"/>
          <w:b/>
          <w:bCs/>
          <w:sz w:val="22"/>
          <w:szCs w:val="22"/>
        </w:rPr>
        <w:tab/>
        <w:t>Realignment</w:t>
      </w:r>
    </w:p>
    <w:p w14:paraId="6F4CF75F" w14:textId="7EA192F6" w:rsidR="00405489" w:rsidRPr="008E4831" w:rsidRDefault="00BE6322" w:rsidP="00FC307E">
      <w:pPr>
        <w:rPr>
          <w:rFonts w:ascii="Arial" w:hAnsi="Arial" w:cs="Arial"/>
          <w:b/>
          <w:bCs/>
          <w:i/>
          <w:iCs/>
          <w:sz w:val="22"/>
          <w:szCs w:val="22"/>
        </w:rPr>
      </w:pPr>
      <w:r w:rsidRPr="008E4831">
        <w:rPr>
          <w:rFonts w:ascii="Arial" w:hAnsi="Arial" w:cs="Arial"/>
          <w:b/>
          <w:bCs/>
          <w:i/>
          <w:iCs/>
          <w:sz w:val="22"/>
          <w:szCs w:val="22"/>
        </w:rPr>
        <w:tab/>
      </w:r>
      <w:r w:rsidRPr="008E4831">
        <w:rPr>
          <w:rFonts w:ascii="Arial" w:hAnsi="Arial" w:cs="Arial"/>
          <w:b/>
          <w:bCs/>
          <w:i/>
          <w:iCs/>
          <w:sz w:val="22"/>
          <w:szCs w:val="22"/>
          <w:lang w:val="ru"/>
        </w:rPr>
        <w:t>Перестановка сторон.</w:t>
      </w:r>
    </w:p>
    <w:p w14:paraId="1477EBA5" w14:textId="77777777" w:rsidR="000177AF" w:rsidRPr="008E4831" w:rsidRDefault="006C0B14" w:rsidP="00FC307E">
      <w:pPr>
        <w:tabs>
          <w:tab w:val="left" w:pos="9360"/>
        </w:tabs>
        <w:spacing w:before="60"/>
        <w:ind w:left="720"/>
        <w:rPr>
          <w:rFonts w:ascii="Arial" w:hAnsi="Arial" w:cs="Arial"/>
          <w:sz w:val="22"/>
          <w:szCs w:val="22"/>
          <w:u w:val="single"/>
        </w:rPr>
      </w:pPr>
      <w:r w:rsidRPr="008E4831">
        <w:rPr>
          <w:rFonts w:ascii="Arial" w:hAnsi="Arial" w:cs="Arial"/>
          <w:sz w:val="22"/>
          <w:szCs w:val="22"/>
        </w:rPr>
        <w:t xml:space="preserve">It is ordered that the designation of the parties in this case be realigned so that: </w:t>
      </w:r>
      <w:r w:rsidRPr="008E4831">
        <w:rPr>
          <w:rFonts w:ascii="Arial" w:hAnsi="Arial" w:cs="Arial"/>
          <w:sz w:val="22"/>
          <w:szCs w:val="22"/>
        </w:rPr>
        <w:br/>
        <w:t>the protected person is (</w:t>
      </w:r>
      <w:r w:rsidRPr="008E4831">
        <w:rPr>
          <w:rFonts w:ascii="Arial" w:hAnsi="Arial" w:cs="Arial"/>
          <w:i/>
          <w:iCs/>
          <w:sz w:val="22"/>
          <w:szCs w:val="22"/>
        </w:rPr>
        <w:t>name</w:t>
      </w:r>
      <w:r w:rsidRPr="008E4831">
        <w:rPr>
          <w:rFonts w:ascii="Arial" w:hAnsi="Arial" w:cs="Arial"/>
          <w:sz w:val="22"/>
          <w:szCs w:val="22"/>
        </w:rPr>
        <w:t xml:space="preserve">) </w:t>
      </w:r>
      <w:r w:rsidRPr="008E4831">
        <w:rPr>
          <w:rFonts w:ascii="Arial" w:hAnsi="Arial" w:cs="Arial"/>
          <w:sz w:val="22"/>
          <w:szCs w:val="22"/>
          <w:u w:val="single"/>
        </w:rPr>
        <w:tab/>
        <w:t xml:space="preserve"> </w:t>
      </w:r>
      <w:r w:rsidRPr="008E4831">
        <w:rPr>
          <w:rFonts w:ascii="Arial" w:hAnsi="Arial" w:cs="Arial"/>
          <w:sz w:val="22"/>
          <w:szCs w:val="22"/>
        </w:rPr>
        <w:lastRenderedPageBreak/>
        <w:t>and</w:t>
      </w:r>
      <w:r w:rsidRPr="008E4831">
        <w:rPr>
          <w:rFonts w:ascii="Arial" w:hAnsi="Arial" w:cs="Arial"/>
          <w:sz w:val="22"/>
          <w:szCs w:val="22"/>
        </w:rPr>
        <w:br/>
        <w:t>the restrained person is (</w:t>
      </w:r>
      <w:r w:rsidRPr="008E4831">
        <w:rPr>
          <w:rFonts w:ascii="Arial" w:hAnsi="Arial" w:cs="Arial"/>
          <w:i/>
          <w:iCs/>
          <w:sz w:val="22"/>
          <w:szCs w:val="22"/>
        </w:rPr>
        <w:t>name</w:t>
      </w:r>
      <w:r w:rsidRPr="008E4831">
        <w:rPr>
          <w:rFonts w:ascii="Arial" w:hAnsi="Arial" w:cs="Arial"/>
          <w:sz w:val="22"/>
          <w:szCs w:val="22"/>
        </w:rPr>
        <w:t xml:space="preserve">) </w:t>
      </w:r>
      <w:r w:rsidRPr="008E4831">
        <w:rPr>
          <w:rFonts w:ascii="Arial" w:hAnsi="Arial" w:cs="Arial"/>
          <w:sz w:val="22"/>
          <w:szCs w:val="22"/>
          <w:u w:val="single"/>
        </w:rPr>
        <w:tab/>
      </w:r>
    </w:p>
    <w:p w14:paraId="6D900D18" w14:textId="3DAB3F77" w:rsidR="006C0B14" w:rsidRPr="008E4831" w:rsidRDefault="000177AF" w:rsidP="00FC307E">
      <w:pPr>
        <w:tabs>
          <w:tab w:val="left" w:pos="9360"/>
        </w:tabs>
        <w:ind w:left="720"/>
        <w:rPr>
          <w:rFonts w:ascii="Arial" w:hAnsi="Arial" w:cs="Arial"/>
          <w:i/>
          <w:iCs/>
          <w:sz w:val="22"/>
          <w:szCs w:val="22"/>
          <w:lang w:val="ru"/>
        </w:rPr>
      </w:pPr>
      <w:r w:rsidRPr="008E4831">
        <w:rPr>
          <w:rFonts w:ascii="Arial" w:hAnsi="Arial" w:cs="Arial"/>
          <w:i/>
          <w:iCs/>
          <w:sz w:val="22"/>
          <w:szCs w:val="22"/>
          <w:lang w:val="ru"/>
        </w:rPr>
        <w:t xml:space="preserve">Приказывается изменить назначение сторон в данном деле таким образом, чтобы:  </w:t>
      </w:r>
      <w:r w:rsidRPr="008E4831">
        <w:rPr>
          <w:rFonts w:ascii="Arial" w:hAnsi="Arial" w:cs="Arial"/>
          <w:i/>
          <w:iCs/>
          <w:sz w:val="22"/>
          <w:szCs w:val="22"/>
          <w:lang w:val="ru"/>
        </w:rPr>
        <w:br/>
        <w:t xml:space="preserve">защищаемым лицом стал (-а) (имя и фамилия). </w:t>
      </w:r>
      <w:r w:rsidRPr="008E4831">
        <w:rPr>
          <w:rFonts w:ascii="Arial" w:hAnsi="Arial" w:cs="Arial"/>
          <w:sz w:val="22"/>
          <w:szCs w:val="22"/>
          <w:lang w:val="ru"/>
        </w:rPr>
        <w:tab/>
      </w:r>
      <w:r w:rsidRPr="008E4831">
        <w:rPr>
          <w:rFonts w:ascii="Arial" w:hAnsi="Arial" w:cs="Arial"/>
          <w:i/>
          <w:iCs/>
          <w:sz w:val="22"/>
          <w:szCs w:val="22"/>
          <w:u w:val="single"/>
          <w:lang w:val="ru"/>
        </w:rPr>
        <w:t xml:space="preserve"> </w:t>
      </w:r>
      <w:r w:rsidRPr="008E4831">
        <w:rPr>
          <w:rFonts w:ascii="Arial" w:hAnsi="Arial" w:cs="Arial"/>
          <w:i/>
          <w:iCs/>
          <w:sz w:val="22"/>
          <w:szCs w:val="22"/>
          <w:lang w:val="ru"/>
        </w:rPr>
        <w:t>и</w:t>
      </w:r>
      <w:r w:rsidRPr="008E4831">
        <w:rPr>
          <w:rFonts w:ascii="Arial" w:hAnsi="Arial" w:cs="Arial"/>
          <w:i/>
          <w:iCs/>
          <w:sz w:val="22"/>
          <w:szCs w:val="22"/>
          <w:lang w:val="ru"/>
        </w:rPr>
        <w:br/>
        <w:t xml:space="preserve">лицом, на которое наложен запрет стал (-а) (имя и фамилия) </w:t>
      </w:r>
    </w:p>
    <w:p w14:paraId="571B6373" w14:textId="77777777" w:rsidR="000177AF" w:rsidRPr="008E4831" w:rsidRDefault="009B1B80" w:rsidP="00FC307E">
      <w:pPr>
        <w:spacing w:before="120"/>
        <w:rPr>
          <w:rFonts w:ascii="Arial" w:hAnsi="Arial" w:cs="Arial"/>
          <w:b/>
          <w:bCs/>
          <w:sz w:val="22"/>
          <w:szCs w:val="22"/>
        </w:rPr>
      </w:pPr>
      <w:r w:rsidRPr="008E4831">
        <w:rPr>
          <w:rFonts w:ascii="Arial" w:hAnsi="Arial" w:cs="Arial"/>
          <w:b/>
          <w:bCs/>
          <w:sz w:val="22"/>
          <w:szCs w:val="22"/>
        </w:rPr>
        <w:t>3.</w:t>
      </w:r>
      <w:r w:rsidRPr="008E4831">
        <w:rPr>
          <w:rFonts w:ascii="Arial" w:hAnsi="Arial" w:cs="Arial"/>
          <w:b/>
          <w:bCs/>
          <w:sz w:val="22"/>
          <w:szCs w:val="22"/>
        </w:rPr>
        <w:tab/>
        <w:t>Temporary Protection Order</w:t>
      </w:r>
    </w:p>
    <w:p w14:paraId="2C39893F" w14:textId="77EAFAAD" w:rsidR="00B17D56" w:rsidRPr="008E4831" w:rsidRDefault="00406D65" w:rsidP="00FC307E">
      <w:pPr>
        <w:rPr>
          <w:rFonts w:ascii="Arial" w:hAnsi="Arial" w:cs="Arial"/>
          <w:b/>
          <w:bCs/>
          <w:i/>
          <w:iCs/>
          <w:sz w:val="22"/>
          <w:szCs w:val="22"/>
        </w:rPr>
      </w:pPr>
      <w:r w:rsidRPr="008E4831">
        <w:rPr>
          <w:rFonts w:ascii="Arial" w:hAnsi="Arial" w:cs="Arial"/>
          <w:b/>
          <w:bCs/>
          <w:i/>
          <w:iCs/>
          <w:sz w:val="22"/>
          <w:szCs w:val="22"/>
        </w:rPr>
        <w:tab/>
      </w:r>
      <w:r w:rsidRPr="008E4831">
        <w:rPr>
          <w:rFonts w:ascii="Arial" w:hAnsi="Arial" w:cs="Arial"/>
          <w:b/>
          <w:bCs/>
          <w:i/>
          <w:iCs/>
          <w:sz w:val="22"/>
          <w:szCs w:val="22"/>
          <w:lang w:val="ru"/>
        </w:rPr>
        <w:t>Временный защитный приказ</w:t>
      </w:r>
    </w:p>
    <w:p w14:paraId="32D2BB88" w14:textId="77777777" w:rsidR="000177AF" w:rsidRPr="008E4831" w:rsidRDefault="00B17D56" w:rsidP="00FC307E">
      <w:pPr>
        <w:pStyle w:val="BodyTextIndent"/>
        <w:spacing w:before="60" w:after="0"/>
        <w:ind w:left="720"/>
      </w:pPr>
      <w:r w:rsidRPr="008E4831">
        <w:t>The Court is issuing a new temporary protection order separately with the parties realigned as described above.</w:t>
      </w:r>
    </w:p>
    <w:p w14:paraId="36530862" w14:textId="61441489" w:rsidR="00B17D56" w:rsidRPr="008E4831" w:rsidRDefault="000177AF" w:rsidP="00FC307E">
      <w:pPr>
        <w:pStyle w:val="BodyTextIndent"/>
        <w:spacing w:before="0" w:after="0"/>
        <w:ind w:left="720"/>
        <w:rPr>
          <w:i/>
          <w:iCs/>
        </w:rPr>
      </w:pPr>
      <w:r w:rsidRPr="008E4831">
        <w:rPr>
          <w:i/>
          <w:iCs/>
          <w:lang w:val="ru"/>
        </w:rPr>
        <w:t>Суд отдельно издает новый временный защитный приказ с изменением роли сторон, как описано выше.</w:t>
      </w:r>
    </w:p>
    <w:p w14:paraId="61FF073B" w14:textId="77777777" w:rsidR="000177AF" w:rsidRPr="008E4831" w:rsidRDefault="00F27B13" w:rsidP="00FC307E">
      <w:pPr>
        <w:spacing w:before="120"/>
        <w:rPr>
          <w:rFonts w:ascii="Arial" w:hAnsi="Arial" w:cs="Arial"/>
          <w:b/>
          <w:sz w:val="22"/>
          <w:szCs w:val="22"/>
        </w:rPr>
      </w:pPr>
      <w:r w:rsidRPr="008E4831">
        <w:rPr>
          <w:rFonts w:ascii="Arial" w:hAnsi="Arial" w:cs="Arial"/>
          <w:b/>
          <w:bCs/>
          <w:sz w:val="22"/>
          <w:szCs w:val="22"/>
        </w:rPr>
        <w:t>4.</w:t>
      </w:r>
      <w:r w:rsidRPr="008E4831">
        <w:rPr>
          <w:rFonts w:ascii="Arial" w:hAnsi="Arial" w:cs="Arial"/>
          <w:sz w:val="22"/>
          <w:szCs w:val="22"/>
        </w:rPr>
        <w:tab/>
      </w:r>
      <w:r w:rsidRPr="008E4831">
        <w:rPr>
          <w:rFonts w:ascii="Arial" w:hAnsi="Arial" w:cs="Arial"/>
          <w:b/>
          <w:bCs/>
          <w:sz w:val="22"/>
          <w:szCs w:val="22"/>
        </w:rPr>
        <w:t>Deadline for Filing New Petition</w:t>
      </w:r>
    </w:p>
    <w:p w14:paraId="536E3332" w14:textId="0C9FA547" w:rsidR="00F27B13" w:rsidRPr="008E4831" w:rsidRDefault="00406D65" w:rsidP="00FC307E">
      <w:pPr>
        <w:rPr>
          <w:rFonts w:ascii="Arial" w:hAnsi="Arial" w:cs="Arial"/>
          <w:i/>
          <w:iCs/>
          <w:sz w:val="22"/>
          <w:szCs w:val="22"/>
        </w:rPr>
      </w:pPr>
      <w:r w:rsidRPr="008E4831">
        <w:rPr>
          <w:rFonts w:ascii="Arial" w:hAnsi="Arial" w:cs="Arial"/>
          <w:b/>
          <w:bCs/>
          <w:i/>
          <w:iCs/>
          <w:sz w:val="22"/>
          <w:szCs w:val="22"/>
        </w:rPr>
        <w:tab/>
      </w:r>
      <w:r w:rsidRPr="008E4831">
        <w:rPr>
          <w:rFonts w:ascii="Arial" w:hAnsi="Arial" w:cs="Arial"/>
          <w:b/>
          <w:bCs/>
          <w:i/>
          <w:iCs/>
          <w:sz w:val="22"/>
          <w:szCs w:val="22"/>
          <w:lang w:val="ru"/>
        </w:rPr>
        <w:t>Крайний срок подачи нового ходатайства</w:t>
      </w:r>
    </w:p>
    <w:p w14:paraId="1AE10910" w14:textId="77777777" w:rsidR="000177AF" w:rsidRPr="008E4831" w:rsidRDefault="00F27B13" w:rsidP="00FC307E">
      <w:pPr>
        <w:tabs>
          <w:tab w:val="left" w:pos="9360"/>
        </w:tabs>
        <w:spacing w:before="60"/>
        <w:ind w:left="720"/>
        <w:rPr>
          <w:rFonts w:ascii="Arial" w:hAnsi="Arial" w:cs="Arial"/>
          <w:sz w:val="22"/>
          <w:szCs w:val="22"/>
        </w:rPr>
      </w:pPr>
      <w:r w:rsidRPr="008E4831">
        <w:rPr>
          <w:rFonts w:ascii="Arial" w:hAnsi="Arial" w:cs="Arial"/>
          <w:sz w:val="22"/>
          <w:szCs w:val="22"/>
        </w:rPr>
        <w:t>New protected person must file a petition for protection order by (</w:t>
      </w:r>
      <w:r w:rsidRPr="008E4831">
        <w:rPr>
          <w:rFonts w:ascii="Arial" w:hAnsi="Arial" w:cs="Arial"/>
          <w:i/>
          <w:iCs/>
          <w:sz w:val="22"/>
          <w:szCs w:val="22"/>
        </w:rPr>
        <w:t>date</w:t>
      </w:r>
      <w:r w:rsidRPr="008E4831">
        <w:rPr>
          <w:rFonts w:ascii="Arial" w:hAnsi="Arial" w:cs="Arial"/>
          <w:sz w:val="22"/>
          <w:szCs w:val="22"/>
        </w:rPr>
        <w:t xml:space="preserve">) </w:t>
      </w:r>
      <w:r w:rsidRPr="008E4831">
        <w:rPr>
          <w:rFonts w:ascii="Arial" w:hAnsi="Arial" w:cs="Arial"/>
          <w:sz w:val="22"/>
          <w:szCs w:val="22"/>
          <w:u w:val="single"/>
        </w:rPr>
        <w:tab/>
        <w:t xml:space="preserve"> </w:t>
      </w:r>
      <w:r w:rsidRPr="008E4831">
        <w:rPr>
          <w:rFonts w:ascii="Arial" w:hAnsi="Arial" w:cs="Arial"/>
          <w:sz w:val="22"/>
          <w:szCs w:val="22"/>
        </w:rPr>
        <w:t>and contact the court clerk to arrange for service.</w:t>
      </w:r>
    </w:p>
    <w:p w14:paraId="45AEE3B9" w14:textId="250912C0" w:rsidR="00F27B13" w:rsidRPr="008E4831" w:rsidRDefault="000177AF" w:rsidP="00FC307E">
      <w:pPr>
        <w:tabs>
          <w:tab w:val="left" w:pos="9360"/>
        </w:tabs>
        <w:ind w:left="720"/>
        <w:rPr>
          <w:rFonts w:ascii="Arial" w:hAnsi="Arial" w:cs="Arial"/>
          <w:i/>
          <w:iCs/>
          <w:sz w:val="22"/>
          <w:szCs w:val="22"/>
        </w:rPr>
      </w:pPr>
      <w:r w:rsidRPr="008E4831">
        <w:rPr>
          <w:rFonts w:ascii="Arial" w:hAnsi="Arial" w:cs="Arial"/>
          <w:i/>
          <w:iCs/>
          <w:sz w:val="22"/>
          <w:szCs w:val="22"/>
          <w:lang w:val="ru"/>
        </w:rPr>
        <w:t xml:space="preserve">Новое защищаемое лицо обязано подать ходатайство о выдаче защитного приказа до (дата) </w:t>
      </w:r>
      <w:r w:rsidRPr="008E4831">
        <w:rPr>
          <w:rFonts w:ascii="Arial" w:hAnsi="Arial" w:cs="Arial"/>
          <w:sz w:val="22"/>
          <w:szCs w:val="22"/>
          <w:lang w:val="ru"/>
        </w:rPr>
        <w:tab/>
      </w:r>
      <w:r w:rsidRPr="008E4831">
        <w:rPr>
          <w:rFonts w:ascii="Arial" w:hAnsi="Arial" w:cs="Arial"/>
          <w:i/>
          <w:iCs/>
          <w:sz w:val="22"/>
          <w:szCs w:val="22"/>
          <w:u w:val="single"/>
          <w:lang w:val="ru"/>
        </w:rPr>
        <w:t xml:space="preserve"> </w:t>
      </w:r>
      <w:r w:rsidRPr="008E4831">
        <w:rPr>
          <w:rFonts w:ascii="Arial" w:hAnsi="Arial" w:cs="Arial"/>
          <w:i/>
          <w:iCs/>
          <w:sz w:val="22"/>
          <w:szCs w:val="22"/>
          <w:lang w:val="ru"/>
        </w:rPr>
        <w:t>и связаться с секретарем суда, чтобы организовать вручение.</w:t>
      </w:r>
    </w:p>
    <w:p w14:paraId="5D1AEF72" w14:textId="77777777" w:rsidR="000177AF" w:rsidRPr="008E4831" w:rsidRDefault="00FE49C6" w:rsidP="00FC307E">
      <w:pPr>
        <w:tabs>
          <w:tab w:val="left" w:pos="-1440"/>
          <w:tab w:val="left" w:pos="-720"/>
          <w:tab w:val="left" w:pos="3240"/>
          <w:tab w:val="left" w:pos="4050"/>
          <w:tab w:val="left" w:pos="9360"/>
        </w:tabs>
        <w:spacing w:before="240"/>
        <w:rPr>
          <w:rFonts w:ascii="Arial" w:hAnsi="Arial" w:cs="Arial"/>
          <w:sz w:val="22"/>
          <w:u w:val="single"/>
        </w:rPr>
      </w:pPr>
      <w:r w:rsidRPr="008E4831">
        <w:rPr>
          <w:rFonts w:ascii="Arial" w:hAnsi="Arial" w:cs="Arial"/>
          <w:b/>
          <w:bCs/>
          <w:sz w:val="22"/>
        </w:rPr>
        <w:t>Date</w:t>
      </w:r>
      <w:r w:rsidRPr="008E4831">
        <w:rPr>
          <w:rFonts w:ascii="Arial" w:hAnsi="Arial" w:cs="Arial"/>
          <w:sz w:val="22"/>
        </w:rPr>
        <w:t>:</w:t>
      </w:r>
      <w:r w:rsidRPr="008E4831">
        <w:rPr>
          <w:rFonts w:ascii="Arial" w:hAnsi="Arial" w:cs="Arial"/>
          <w:sz w:val="22"/>
          <w:u w:val="single"/>
        </w:rPr>
        <w:tab/>
      </w:r>
      <w:r w:rsidRPr="008E4831">
        <w:rPr>
          <w:rFonts w:ascii="Arial" w:hAnsi="Arial" w:cs="Arial"/>
          <w:sz w:val="22"/>
        </w:rPr>
        <w:tab/>
      </w:r>
      <w:r w:rsidRPr="008E4831">
        <w:rPr>
          <w:rFonts w:ascii="Arial" w:hAnsi="Arial" w:cs="Arial"/>
          <w:sz w:val="22"/>
          <w:u w:val="single"/>
        </w:rPr>
        <w:tab/>
      </w:r>
    </w:p>
    <w:p w14:paraId="7AA00905" w14:textId="64B707E6" w:rsidR="000177AF" w:rsidRPr="008E4831" w:rsidRDefault="000177AF" w:rsidP="00406D65">
      <w:pPr>
        <w:tabs>
          <w:tab w:val="left" w:pos="-1440"/>
          <w:tab w:val="left" w:pos="-720"/>
          <w:tab w:val="left" w:pos="3240"/>
          <w:tab w:val="left" w:pos="4050"/>
          <w:tab w:val="left" w:pos="9360"/>
        </w:tabs>
        <w:rPr>
          <w:rFonts w:ascii="Arial" w:hAnsi="Arial" w:cs="Arial"/>
          <w:i/>
          <w:iCs/>
          <w:sz w:val="22"/>
          <w:u w:val="single"/>
        </w:rPr>
      </w:pPr>
      <w:r w:rsidRPr="008E4831">
        <w:rPr>
          <w:rFonts w:ascii="Arial" w:hAnsi="Arial" w:cs="Arial"/>
          <w:b/>
          <w:bCs/>
          <w:i/>
          <w:iCs/>
          <w:sz w:val="22"/>
          <w:lang w:val="ru"/>
        </w:rPr>
        <w:t>Дата:</w:t>
      </w:r>
      <w:r w:rsidRPr="008E4831">
        <w:rPr>
          <w:rFonts w:ascii="Arial" w:hAnsi="Arial" w:cs="Arial"/>
          <w:i/>
          <w:iCs/>
          <w:sz w:val="22"/>
        </w:rPr>
        <w:tab/>
      </w:r>
      <w:r w:rsidRPr="008E4831">
        <w:rPr>
          <w:rFonts w:ascii="Arial" w:hAnsi="Arial" w:cs="Arial"/>
          <w:i/>
          <w:iCs/>
          <w:sz w:val="22"/>
        </w:rPr>
        <w:tab/>
      </w:r>
      <w:r w:rsidRPr="008E4831">
        <w:rPr>
          <w:rFonts w:ascii="Arial" w:hAnsi="Arial" w:cs="Arial"/>
          <w:b/>
          <w:bCs/>
          <w:sz w:val="22"/>
        </w:rPr>
        <w:t>Judge/Court Commissioner</w:t>
      </w:r>
    </w:p>
    <w:p w14:paraId="2B7B5A17" w14:textId="1C855D43" w:rsidR="00FE49C6" w:rsidRPr="008E4831" w:rsidRDefault="000177AF" w:rsidP="00FC307E">
      <w:pPr>
        <w:tabs>
          <w:tab w:val="left" w:pos="-1440"/>
          <w:tab w:val="left" w:pos="-720"/>
          <w:tab w:val="left" w:pos="3240"/>
          <w:tab w:val="left" w:pos="4050"/>
          <w:tab w:val="left" w:pos="9180"/>
        </w:tabs>
        <w:ind w:left="4050"/>
        <w:rPr>
          <w:rFonts w:ascii="Arial" w:hAnsi="Arial" w:cs="Arial"/>
          <w:b/>
          <w:i/>
          <w:iCs/>
          <w:sz w:val="22"/>
        </w:rPr>
      </w:pPr>
      <w:r w:rsidRPr="008E4831">
        <w:rPr>
          <w:rFonts w:ascii="Arial" w:hAnsi="Arial" w:cs="Arial"/>
          <w:b/>
          <w:bCs/>
          <w:i/>
          <w:iCs/>
          <w:sz w:val="22"/>
          <w:lang w:val="ru"/>
        </w:rPr>
        <w:t>Судья или мировой судья</w:t>
      </w:r>
    </w:p>
    <w:p w14:paraId="08A64567" w14:textId="77777777" w:rsidR="000177AF" w:rsidRPr="008E4831" w:rsidRDefault="00762938" w:rsidP="00FC307E">
      <w:pPr>
        <w:tabs>
          <w:tab w:val="left" w:pos="9360"/>
        </w:tabs>
        <w:spacing w:before="200"/>
        <w:ind w:left="4046"/>
        <w:rPr>
          <w:rFonts w:ascii="Arial" w:hAnsi="Arial" w:cs="Arial"/>
          <w:sz w:val="22"/>
        </w:rPr>
      </w:pPr>
      <w:r w:rsidRPr="008E4831">
        <w:rPr>
          <w:rFonts w:ascii="Arial" w:hAnsi="Arial" w:cs="Arial"/>
          <w:sz w:val="22"/>
          <w:u w:val="single"/>
        </w:rPr>
        <w:tab/>
      </w:r>
      <w:r w:rsidRPr="008E4831">
        <w:rPr>
          <w:rFonts w:ascii="Arial" w:hAnsi="Arial" w:cs="Arial"/>
          <w:sz w:val="22"/>
        </w:rPr>
        <w:t>Print Judge/Court Commissioner Name</w:t>
      </w:r>
    </w:p>
    <w:p w14:paraId="194F450B" w14:textId="5CB6EE01" w:rsidR="00762938" w:rsidRPr="008E4831" w:rsidRDefault="000177AF" w:rsidP="00FC307E">
      <w:pPr>
        <w:tabs>
          <w:tab w:val="left" w:pos="9360"/>
        </w:tabs>
        <w:ind w:left="4046"/>
        <w:rPr>
          <w:rFonts w:ascii="Arial" w:hAnsi="Arial" w:cs="Arial"/>
          <w:i/>
          <w:iCs/>
          <w:sz w:val="22"/>
          <w:szCs w:val="22"/>
        </w:rPr>
      </w:pPr>
      <w:r w:rsidRPr="008E4831">
        <w:rPr>
          <w:rFonts w:ascii="Arial" w:hAnsi="Arial" w:cs="Arial"/>
          <w:i/>
          <w:iCs/>
          <w:sz w:val="22"/>
          <w:lang w:val="ru"/>
        </w:rPr>
        <w:t>Имя и фамилия судьи / мирового судьи печатными буквами</w:t>
      </w:r>
    </w:p>
    <w:sectPr w:rsidR="00762938" w:rsidRPr="008E48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E6B1F" w14:textId="77777777" w:rsidR="00C42901" w:rsidRDefault="00C42901" w:rsidP="00FE49C6">
      <w:r>
        <w:separator/>
      </w:r>
    </w:p>
  </w:endnote>
  <w:endnote w:type="continuationSeparator" w:id="0">
    <w:p w14:paraId="17826D28" w14:textId="77777777" w:rsidR="00C42901" w:rsidRDefault="00C42901" w:rsidP="00FE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079F8" w14:textId="77777777" w:rsidR="00BA4D8F" w:rsidRDefault="00BA4D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3125"/>
      <w:gridCol w:w="5965"/>
      <w:gridCol w:w="270"/>
    </w:tblGrid>
    <w:tr w:rsidR="00FE49C6" w:rsidRPr="008E4831" w14:paraId="49F15F5B" w14:textId="77777777" w:rsidTr="00635EB7">
      <w:tc>
        <w:tcPr>
          <w:tcW w:w="3125" w:type="dxa"/>
          <w:shd w:val="clear" w:color="auto" w:fill="auto"/>
        </w:tcPr>
        <w:p w14:paraId="417E56D3" w14:textId="1878067C" w:rsidR="00FE49C6" w:rsidRPr="008E4831" w:rsidRDefault="00A42724" w:rsidP="00FE49C6">
          <w:pPr>
            <w:tabs>
              <w:tab w:val="center" w:pos="4680"/>
              <w:tab w:val="right" w:pos="9360"/>
            </w:tabs>
            <w:rPr>
              <w:rFonts w:ascii="Arial" w:hAnsi="Arial" w:cs="Arial"/>
              <w:sz w:val="18"/>
            </w:rPr>
          </w:pPr>
          <w:r w:rsidRPr="008E4831">
            <w:rPr>
              <w:rFonts w:ascii="Arial" w:hAnsi="Arial" w:cs="Arial"/>
              <w:sz w:val="18"/>
              <w:szCs w:val="18"/>
            </w:rPr>
            <w:t>RCW 7.105.210</w:t>
          </w:r>
        </w:p>
        <w:p w14:paraId="26D5B6A5" w14:textId="04A4580B" w:rsidR="00FE49C6" w:rsidRPr="008E4831" w:rsidRDefault="00701318" w:rsidP="00FE49C6">
          <w:pPr>
            <w:tabs>
              <w:tab w:val="center" w:pos="4680"/>
              <w:tab w:val="right" w:pos="9360"/>
            </w:tabs>
            <w:rPr>
              <w:rFonts w:ascii="Arial" w:hAnsi="Arial" w:cs="Arial"/>
              <w:i/>
              <w:sz w:val="18"/>
              <w:szCs w:val="18"/>
            </w:rPr>
          </w:pPr>
          <w:r w:rsidRPr="008E4831">
            <w:rPr>
              <w:rFonts w:ascii="Arial" w:hAnsi="Arial" w:cs="Arial"/>
              <w:sz w:val="18"/>
              <w:szCs w:val="18"/>
            </w:rPr>
            <w:t>Mandatory</w:t>
          </w:r>
          <w:r w:rsidR="008E4831">
            <w:rPr>
              <w:rFonts w:ascii="Arial" w:hAnsi="Arial" w:cs="Arial"/>
              <w:sz w:val="18"/>
              <w:szCs w:val="18"/>
            </w:rPr>
            <w:t xml:space="preserve"> RU</w:t>
          </w:r>
          <w:r w:rsidRPr="008E4831">
            <w:rPr>
              <w:rFonts w:ascii="Arial" w:hAnsi="Arial" w:cs="Arial"/>
              <w:sz w:val="18"/>
              <w:szCs w:val="18"/>
            </w:rPr>
            <w:t xml:space="preserve"> </w:t>
          </w:r>
          <w:r w:rsidRPr="008E4831">
            <w:rPr>
              <w:rFonts w:ascii="Arial" w:hAnsi="Arial" w:cs="Arial"/>
              <w:i/>
              <w:iCs/>
              <w:sz w:val="18"/>
              <w:szCs w:val="18"/>
            </w:rPr>
            <w:t>(07/2022)</w:t>
          </w:r>
          <w:r w:rsidR="008E4831">
            <w:rPr>
              <w:rFonts w:ascii="Arial" w:hAnsi="Arial" w:cs="Arial"/>
              <w:i/>
              <w:iCs/>
              <w:sz w:val="18"/>
              <w:szCs w:val="18"/>
            </w:rPr>
            <w:t xml:space="preserve"> </w:t>
          </w:r>
          <w:r w:rsidR="008E4831" w:rsidRPr="008E4831">
            <w:rPr>
              <w:rFonts w:ascii="Arial" w:hAnsi="Arial" w:cs="Arial"/>
              <w:sz w:val="18"/>
              <w:szCs w:val="18"/>
            </w:rPr>
            <w:t>Russian</w:t>
          </w:r>
        </w:p>
        <w:p w14:paraId="6FCC912F" w14:textId="3BED0C2F" w:rsidR="00FE49C6" w:rsidRPr="008E4831" w:rsidRDefault="00FE49C6" w:rsidP="00FE49C6">
          <w:pPr>
            <w:tabs>
              <w:tab w:val="center" w:pos="4680"/>
              <w:tab w:val="right" w:pos="9360"/>
            </w:tabs>
            <w:rPr>
              <w:rFonts w:ascii="Arial" w:hAnsi="Arial" w:cs="Arial"/>
              <w:sz w:val="18"/>
              <w:szCs w:val="18"/>
            </w:rPr>
          </w:pPr>
          <w:r w:rsidRPr="008E4831">
            <w:rPr>
              <w:rFonts w:ascii="Arial" w:hAnsi="Arial" w:cs="Arial"/>
              <w:b/>
              <w:bCs/>
              <w:sz w:val="18"/>
              <w:szCs w:val="18"/>
            </w:rPr>
            <w:t>PO 032</w:t>
          </w:r>
        </w:p>
      </w:tc>
      <w:tc>
        <w:tcPr>
          <w:tcW w:w="5965" w:type="dxa"/>
          <w:shd w:val="clear" w:color="auto" w:fill="auto"/>
        </w:tcPr>
        <w:p w14:paraId="15EAAF96" w14:textId="5B1177F1" w:rsidR="00FE49C6" w:rsidRPr="008E4831" w:rsidRDefault="005A7469" w:rsidP="005A7469">
          <w:pPr>
            <w:pStyle w:val="BalloonText"/>
            <w:tabs>
              <w:tab w:val="center" w:pos="4680"/>
              <w:tab w:val="right" w:pos="9360"/>
            </w:tabs>
            <w:rPr>
              <w:rFonts w:ascii="Arial" w:hAnsi="Arial" w:cs="Arial"/>
            </w:rPr>
          </w:pPr>
          <w:r w:rsidRPr="008E4831">
            <w:rPr>
              <w:rFonts w:ascii="Arial" w:hAnsi="Arial" w:cs="Arial"/>
            </w:rPr>
            <w:t xml:space="preserve">                  Order Realigning Parties</w:t>
          </w:r>
        </w:p>
        <w:p w14:paraId="675EDC8A" w14:textId="77777777" w:rsidR="00FE49C6" w:rsidRPr="008E4831" w:rsidRDefault="00FE49C6" w:rsidP="005A7469">
          <w:pPr>
            <w:tabs>
              <w:tab w:val="center" w:pos="1488"/>
              <w:tab w:val="right" w:pos="2976"/>
              <w:tab w:val="center" w:pos="4680"/>
              <w:tab w:val="right" w:pos="9360"/>
            </w:tabs>
            <w:ind w:left="1440"/>
            <w:jc w:val="both"/>
            <w:rPr>
              <w:rFonts w:ascii="Arial" w:hAnsi="Arial" w:cs="Arial"/>
              <w:b/>
              <w:sz w:val="18"/>
              <w:szCs w:val="18"/>
            </w:rPr>
          </w:pPr>
          <w:r w:rsidRPr="008E4831">
            <w:rPr>
              <w:rFonts w:ascii="Arial" w:hAnsi="Arial"/>
              <w:b/>
              <w:bCs/>
              <w:sz w:val="18"/>
              <w:szCs w:val="18"/>
            </w:rPr>
            <w:t xml:space="preserve">p. </w:t>
          </w:r>
          <w:r w:rsidRPr="008E4831">
            <w:rPr>
              <w:rFonts w:ascii="Arial" w:hAnsi="Arial"/>
              <w:b/>
              <w:bCs/>
              <w:sz w:val="18"/>
              <w:szCs w:val="18"/>
            </w:rPr>
            <w:fldChar w:fldCharType="begin"/>
          </w:r>
          <w:r w:rsidRPr="008E4831">
            <w:rPr>
              <w:rFonts w:ascii="Arial" w:hAnsi="Arial"/>
              <w:b/>
              <w:bCs/>
              <w:sz w:val="18"/>
              <w:szCs w:val="18"/>
            </w:rPr>
            <w:instrText xml:space="preserve"> PAGE  \* Arabic  \* MERGEFORMAT </w:instrText>
          </w:r>
          <w:r w:rsidRPr="008E4831">
            <w:rPr>
              <w:rFonts w:ascii="Arial" w:hAnsi="Arial"/>
              <w:b/>
              <w:bCs/>
              <w:sz w:val="18"/>
              <w:szCs w:val="18"/>
            </w:rPr>
            <w:fldChar w:fldCharType="separate"/>
          </w:r>
          <w:r w:rsidR="00BA4D8F">
            <w:rPr>
              <w:rFonts w:ascii="Arial" w:hAnsi="Arial"/>
              <w:b/>
              <w:bCs/>
              <w:noProof/>
              <w:sz w:val="18"/>
              <w:szCs w:val="18"/>
            </w:rPr>
            <w:t>1</w:t>
          </w:r>
          <w:r w:rsidRPr="008E4831">
            <w:rPr>
              <w:rFonts w:ascii="Arial" w:hAnsi="Arial"/>
              <w:b/>
              <w:bCs/>
              <w:sz w:val="18"/>
              <w:szCs w:val="18"/>
            </w:rPr>
            <w:fldChar w:fldCharType="end"/>
          </w:r>
          <w:r w:rsidRPr="008E4831">
            <w:rPr>
              <w:rFonts w:ascii="Arial" w:hAnsi="Arial"/>
              <w:b/>
              <w:bCs/>
              <w:sz w:val="18"/>
              <w:szCs w:val="18"/>
            </w:rPr>
            <w:t xml:space="preserve"> of </w:t>
          </w:r>
          <w:r w:rsidRPr="008E4831">
            <w:rPr>
              <w:rFonts w:ascii="Arial" w:hAnsi="Arial"/>
              <w:b/>
              <w:bCs/>
              <w:sz w:val="20"/>
            </w:rPr>
            <w:fldChar w:fldCharType="begin"/>
          </w:r>
          <w:r w:rsidRPr="008E4831">
            <w:rPr>
              <w:rFonts w:ascii="Arial" w:hAnsi="Arial"/>
              <w:b/>
              <w:bCs/>
            </w:rPr>
            <w:instrText xml:space="preserve"> NUMPAGES  \* Arabic  \* MERGEFORMAT </w:instrText>
          </w:r>
          <w:r w:rsidRPr="008E4831">
            <w:rPr>
              <w:rFonts w:ascii="Arial" w:hAnsi="Arial"/>
              <w:b/>
              <w:bCs/>
              <w:sz w:val="20"/>
            </w:rPr>
            <w:fldChar w:fldCharType="separate"/>
          </w:r>
          <w:r w:rsidR="00BA4D8F" w:rsidRPr="00BA4D8F">
            <w:rPr>
              <w:rFonts w:ascii="Arial" w:hAnsi="Arial"/>
              <w:b/>
              <w:bCs/>
              <w:noProof/>
              <w:sz w:val="18"/>
              <w:szCs w:val="18"/>
            </w:rPr>
            <w:t>2</w:t>
          </w:r>
          <w:r w:rsidRPr="008E4831">
            <w:rPr>
              <w:rFonts w:ascii="Arial" w:hAnsi="Arial"/>
              <w:b/>
              <w:bCs/>
              <w:noProof/>
              <w:sz w:val="18"/>
              <w:szCs w:val="18"/>
            </w:rPr>
            <w:fldChar w:fldCharType="end"/>
          </w:r>
        </w:p>
      </w:tc>
      <w:tc>
        <w:tcPr>
          <w:tcW w:w="270" w:type="dxa"/>
        </w:tcPr>
        <w:p w14:paraId="3D3F8C2D" w14:textId="77777777" w:rsidR="00FE49C6" w:rsidRPr="008E4831" w:rsidRDefault="00FE49C6" w:rsidP="00FE49C6">
          <w:pPr>
            <w:tabs>
              <w:tab w:val="center" w:pos="4680"/>
              <w:tab w:val="right" w:pos="9360"/>
            </w:tabs>
            <w:jc w:val="center"/>
            <w:rPr>
              <w:rFonts w:ascii="Arial" w:hAnsi="Arial" w:cs="Arial"/>
              <w:sz w:val="18"/>
              <w:szCs w:val="18"/>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3369E" w14:textId="77777777" w:rsidR="00BA4D8F" w:rsidRDefault="00BA4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081D8" w14:textId="77777777" w:rsidR="00C42901" w:rsidRDefault="00C42901" w:rsidP="00FE49C6">
      <w:r>
        <w:separator/>
      </w:r>
    </w:p>
  </w:footnote>
  <w:footnote w:type="continuationSeparator" w:id="0">
    <w:p w14:paraId="17004119" w14:textId="77777777" w:rsidR="00C42901" w:rsidRDefault="00C42901" w:rsidP="00FE4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D36A9" w14:textId="77777777" w:rsidR="00BA4D8F" w:rsidRDefault="00BA4D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EA644" w14:textId="77777777" w:rsidR="00BA4D8F" w:rsidRDefault="00BA4D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692FC" w14:textId="77777777" w:rsidR="00BA4D8F" w:rsidRDefault="00BA4D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4B"/>
    <w:rsid w:val="000177AF"/>
    <w:rsid w:val="000551C1"/>
    <w:rsid w:val="00066173"/>
    <w:rsid w:val="000E1C2E"/>
    <w:rsid w:val="00103A3A"/>
    <w:rsid w:val="00135988"/>
    <w:rsid w:val="0015072A"/>
    <w:rsid w:val="00164B94"/>
    <w:rsid w:val="001B509B"/>
    <w:rsid w:val="001C55E9"/>
    <w:rsid w:val="00225471"/>
    <w:rsid w:val="002301E3"/>
    <w:rsid w:val="002626E8"/>
    <w:rsid w:val="003021E8"/>
    <w:rsid w:val="003919C0"/>
    <w:rsid w:val="003D0870"/>
    <w:rsid w:val="003E6624"/>
    <w:rsid w:val="00405489"/>
    <w:rsid w:val="00406D65"/>
    <w:rsid w:val="004B597F"/>
    <w:rsid w:val="00547710"/>
    <w:rsid w:val="005A7469"/>
    <w:rsid w:val="006234D1"/>
    <w:rsid w:val="006456CF"/>
    <w:rsid w:val="00661398"/>
    <w:rsid w:val="006766E2"/>
    <w:rsid w:val="006B2425"/>
    <w:rsid w:val="006C0B14"/>
    <w:rsid w:val="00701318"/>
    <w:rsid w:val="007348F8"/>
    <w:rsid w:val="00762938"/>
    <w:rsid w:val="007921B4"/>
    <w:rsid w:val="007A1DE7"/>
    <w:rsid w:val="0081424F"/>
    <w:rsid w:val="00815247"/>
    <w:rsid w:val="00864AE0"/>
    <w:rsid w:val="008B4570"/>
    <w:rsid w:val="008E4831"/>
    <w:rsid w:val="0099747C"/>
    <w:rsid w:val="009A1F54"/>
    <w:rsid w:val="009B1B80"/>
    <w:rsid w:val="009E3BC0"/>
    <w:rsid w:val="00A07E80"/>
    <w:rsid w:val="00A203FB"/>
    <w:rsid w:val="00A35528"/>
    <w:rsid w:val="00A42724"/>
    <w:rsid w:val="00A4361A"/>
    <w:rsid w:val="00AB2C6B"/>
    <w:rsid w:val="00AE5FBE"/>
    <w:rsid w:val="00B01A82"/>
    <w:rsid w:val="00B17D56"/>
    <w:rsid w:val="00B23411"/>
    <w:rsid w:val="00B50A0A"/>
    <w:rsid w:val="00B653FB"/>
    <w:rsid w:val="00B6616B"/>
    <w:rsid w:val="00BA4D8F"/>
    <w:rsid w:val="00BC4B3C"/>
    <w:rsid w:val="00BE6322"/>
    <w:rsid w:val="00BF4C56"/>
    <w:rsid w:val="00C42901"/>
    <w:rsid w:val="00D2149B"/>
    <w:rsid w:val="00D26007"/>
    <w:rsid w:val="00D419D3"/>
    <w:rsid w:val="00D70601"/>
    <w:rsid w:val="00DB234B"/>
    <w:rsid w:val="00DF646C"/>
    <w:rsid w:val="00E0152B"/>
    <w:rsid w:val="00F0568D"/>
    <w:rsid w:val="00F2197F"/>
    <w:rsid w:val="00F27B13"/>
    <w:rsid w:val="00FC307E"/>
    <w:rsid w:val="00FD46E0"/>
    <w:rsid w:val="00FE49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5B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34B"/>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509B"/>
    <w:rPr>
      <w:sz w:val="16"/>
      <w:szCs w:val="16"/>
    </w:rPr>
  </w:style>
  <w:style w:type="paragraph" w:styleId="CommentText">
    <w:name w:val="annotation text"/>
    <w:basedOn w:val="Normal"/>
    <w:link w:val="CommentTextChar"/>
    <w:uiPriority w:val="99"/>
    <w:semiHidden/>
    <w:unhideWhenUsed/>
    <w:rsid w:val="001B509B"/>
    <w:rPr>
      <w:sz w:val="20"/>
    </w:rPr>
  </w:style>
  <w:style w:type="character" w:customStyle="1" w:styleId="CommentTextChar">
    <w:name w:val="Comment Text Char"/>
    <w:basedOn w:val="DefaultParagraphFont"/>
    <w:link w:val="CommentText"/>
    <w:uiPriority w:val="99"/>
    <w:semiHidden/>
    <w:rsid w:val="001B509B"/>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1B509B"/>
    <w:rPr>
      <w:b/>
      <w:bCs/>
    </w:rPr>
  </w:style>
  <w:style w:type="character" w:customStyle="1" w:styleId="CommentSubjectChar">
    <w:name w:val="Comment Subject Char"/>
    <w:basedOn w:val="CommentTextChar"/>
    <w:link w:val="CommentSubject"/>
    <w:uiPriority w:val="99"/>
    <w:semiHidden/>
    <w:rsid w:val="001B509B"/>
    <w:rPr>
      <w:rFonts w:ascii="CG Times" w:eastAsia="Times New Roman" w:hAnsi="CG Times" w:cs="Times New Roman"/>
      <w:b/>
      <w:bCs/>
      <w:sz w:val="20"/>
      <w:szCs w:val="20"/>
    </w:rPr>
  </w:style>
  <w:style w:type="paragraph" w:styleId="BalloonText">
    <w:name w:val="Balloon Text"/>
    <w:basedOn w:val="Normal"/>
    <w:link w:val="BalloonTextChar"/>
    <w:uiPriority w:val="99"/>
    <w:unhideWhenUsed/>
    <w:rsid w:val="001B509B"/>
    <w:rPr>
      <w:rFonts w:ascii="Segoe UI" w:hAnsi="Segoe UI" w:cs="Segoe UI"/>
      <w:sz w:val="18"/>
      <w:szCs w:val="18"/>
    </w:rPr>
  </w:style>
  <w:style w:type="character" w:customStyle="1" w:styleId="BalloonTextChar">
    <w:name w:val="Balloon Text Char"/>
    <w:basedOn w:val="DefaultParagraphFont"/>
    <w:link w:val="BalloonText"/>
    <w:uiPriority w:val="99"/>
    <w:rsid w:val="001B509B"/>
    <w:rPr>
      <w:rFonts w:ascii="Segoe UI" w:eastAsia="Times New Roman" w:hAnsi="Segoe UI" w:cs="Segoe UI"/>
      <w:sz w:val="18"/>
      <w:szCs w:val="18"/>
    </w:rPr>
  </w:style>
  <w:style w:type="paragraph" w:styleId="Header">
    <w:name w:val="header"/>
    <w:basedOn w:val="Normal"/>
    <w:link w:val="HeaderChar"/>
    <w:uiPriority w:val="99"/>
    <w:unhideWhenUsed/>
    <w:rsid w:val="00FE49C6"/>
    <w:pPr>
      <w:tabs>
        <w:tab w:val="center" w:pos="4680"/>
        <w:tab w:val="right" w:pos="9360"/>
      </w:tabs>
    </w:pPr>
  </w:style>
  <w:style w:type="character" w:customStyle="1" w:styleId="HeaderChar">
    <w:name w:val="Header Char"/>
    <w:basedOn w:val="DefaultParagraphFont"/>
    <w:link w:val="Header"/>
    <w:uiPriority w:val="99"/>
    <w:rsid w:val="00FE49C6"/>
    <w:rPr>
      <w:rFonts w:ascii="CG Times" w:eastAsia="Times New Roman" w:hAnsi="CG Times" w:cs="Times New Roman"/>
      <w:sz w:val="24"/>
      <w:szCs w:val="20"/>
    </w:rPr>
  </w:style>
  <w:style w:type="paragraph" w:styleId="Footer">
    <w:name w:val="footer"/>
    <w:basedOn w:val="Normal"/>
    <w:link w:val="FooterChar"/>
    <w:uiPriority w:val="99"/>
    <w:unhideWhenUsed/>
    <w:rsid w:val="00FE49C6"/>
    <w:pPr>
      <w:tabs>
        <w:tab w:val="center" w:pos="4680"/>
        <w:tab w:val="right" w:pos="9360"/>
      </w:tabs>
    </w:pPr>
  </w:style>
  <w:style w:type="character" w:customStyle="1" w:styleId="FooterChar">
    <w:name w:val="Footer Char"/>
    <w:basedOn w:val="DefaultParagraphFont"/>
    <w:link w:val="Footer"/>
    <w:uiPriority w:val="99"/>
    <w:rsid w:val="00FE49C6"/>
    <w:rPr>
      <w:rFonts w:ascii="CG Times" w:eastAsia="Times New Roman" w:hAnsi="CG Times" w:cs="Times New Roman"/>
      <w:sz w:val="24"/>
      <w:szCs w:val="20"/>
    </w:rPr>
  </w:style>
  <w:style w:type="paragraph" w:styleId="Revision">
    <w:name w:val="Revision"/>
    <w:hidden/>
    <w:uiPriority w:val="99"/>
    <w:semiHidden/>
    <w:rsid w:val="00405489"/>
    <w:pPr>
      <w:spacing w:after="0" w:line="240" w:lineRule="auto"/>
    </w:pPr>
    <w:rPr>
      <w:rFonts w:ascii="CG Times" w:eastAsia="Times New Roman" w:hAnsi="CG Times" w:cs="Times New Roman"/>
      <w:sz w:val="24"/>
      <w:szCs w:val="20"/>
    </w:rPr>
  </w:style>
  <w:style w:type="paragraph" w:styleId="ListParagraph">
    <w:name w:val="List Paragraph"/>
    <w:basedOn w:val="Normal"/>
    <w:uiPriority w:val="34"/>
    <w:qFormat/>
    <w:rsid w:val="00405489"/>
    <w:pPr>
      <w:ind w:left="720"/>
      <w:contextualSpacing/>
    </w:pPr>
  </w:style>
  <w:style w:type="paragraph" w:styleId="BodyTextIndent">
    <w:name w:val="Body Text Indent"/>
    <w:basedOn w:val="Normal"/>
    <w:link w:val="BodyTextIndentChar"/>
    <w:uiPriority w:val="99"/>
    <w:unhideWhenUsed/>
    <w:rsid w:val="00762938"/>
    <w:pPr>
      <w:spacing w:before="120" w:after="120"/>
      <w:ind w:left="1080"/>
    </w:pPr>
    <w:rPr>
      <w:rFonts w:ascii="Arial" w:hAnsi="Arial" w:cs="Arial"/>
      <w:sz w:val="22"/>
      <w:szCs w:val="22"/>
    </w:rPr>
  </w:style>
  <w:style w:type="character" w:customStyle="1" w:styleId="BodyTextIndentChar">
    <w:name w:val="Body Text Indent Char"/>
    <w:basedOn w:val="DefaultParagraphFont"/>
    <w:link w:val="BodyTextIndent"/>
    <w:uiPriority w:val="99"/>
    <w:rsid w:val="00762938"/>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2024-05-20T20:27:00Z</dcterms:created>
  <dcterms:modified xsi:type="dcterms:W3CDTF">2024-05-20T20:27:00Z</dcterms:modified>
</cp:coreProperties>
</file>